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</w:p>
    <w:p>
      <w:pPr>
        <w:spacing w:after="100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Частная школа имени Шокана Уалиханова</w:t>
      </w:r>
    </w:p>
    <w:p>
      <w:pPr>
        <w:spacing w:after="100"/>
        <w:jc w:val="center"/>
      </w:pPr>
      <w:r>
        <w:rPr>
          <w:rFonts w:ascii="Times New Roman" w:cs="Times New Roman" w:eastAsia="Times New Roman" w:hAnsi="Times New Roman"/>
          <w:color w:val="000000"/>
          <w:sz w:val="22"/>
          <w:szCs w:val="22"/>
        </w:rPr>
        <w:t xml:space="preserve">Внутренний нормативный документ</w:t>
      </w:r>
    </w:p>
    <w:p>
      <w:pPr>
        <w:spacing w:after="900"/>
        <w:jc w:val="center"/>
      </w:pPr>
      <w:r>
        <w:rPr>
          <w:rFonts w:ascii="Times New Roman" w:cs="Times New Roman" w:eastAsia="Times New Roman" w:hAnsi="Times New Roman"/>
          <w:i/>
          <w:iCs/>
          <w:color w:val="000000"/>
          <w:sz w:val="22"/>
          <w:szCs w:val="22"/>
        </w:rPr>
        <w:t xml:space="preserve">Внутренняя нормативная документация · ESG и SDGs</w:t>
      </w:r>
    </w:p>
    <w:p>
      <w:pPr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ВНД-ESG-07</w:t>
      </w:r>
    </w:p>
    <w:p>
      <w:pPr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color w:val="000000"/>
          <w:sz w:val="32"/>
          <w:szCs w:val="32"/>
        </w:rPr>
        <w:t xml:space="preserve">ПОЛИТИКА ИНКЛЮЗИВНОГО ОБРАЗОВАНИЯ</w:t>
      </w:r>
    </w:p>
    <w:p>
      <w:pPr>
        <w:spacing w:after="1200"/>
        <w:jc w:val="center"/>
      </w:pPr>
      <w:r>
        <w:rPr>
          <w:rFonts w:ascii="Times New Roman" w:cs="Times New Roman" w:eastAsia="Times New Roman" w:hAnsi="Times New Roman"/>
          <w:i/>
          <w:iCs/>
          <w:color w:val="000000"/>
          <w:sz w:val="26"/>
          <w:szCs w:val="26"/>
        </w:rPr>
        <w:t xml:space="preserve">Социальная ответственность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00"/>
        <w:gridCol w:w="4700"/>
      </w:tblGrid>
      <w:tr>
        <w:tc>
          <w:tcPr>
            <w:tcW w:type="dxa" w:w="4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УТВЕРЖДАЮ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Директор Частной школы имени Шокана Уалиханова</w:t>
            </w:r>
          </w:p>
          <w:p>
            <w:pPr>
              <w:spacing w:before="200"/>
            </w:pP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________________________ / _______________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  <w:t xml:space="preserve">        Подпись                      Ф.И.О. директора</w:t>
            </w:r>
          </w:p>
          <w:p>
            <w:pPr>
              <w:spacing w:before="150"/>
            </w:pP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Дата: «____» __________ 2026 г.</w:t>
            </w:r>
          </w:p>
          <w:p>
            <w:pPr>
              <w:spacing w:before="100"/>
            </w:pP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Печать: М.П.</w:t>
            </w:r>
          </w:p>
        </w:tc>
        <w:tc>
          <w:tcPr>
            <w:tcW w:type="dxa" w:w="4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50"/>
              <w:left w:type="dxa" w:w="200"/>
              <w:bottom w:type="dxa" w:w="150"/>
              <w:right w:type="dxa" w:w="20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СВЕДЕНИЯ О ДОКУМЕНТЕ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Организация: Частная школа имени Шокана Уалиханова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Регистрационный номер: ВНД-ESG-07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Версия: 1.0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Дата вступления в силу: «____» __________ 2026 г.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Периодичность пересмотра: ежегодно</w:t>
            </w:r>
          </w:p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Категория: Социальная ответственность</w:t>
            </w:r>
          </w:p>
        </w:tc>
      </w:tr>
    </w:tbl>
    <w:p>
      <w:r>
        <w:br w:type="page"/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1. Термины и определения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ESG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Совокупность экологических (Environmental), социальных (Social) и управленческих (Governance) критериев, используемых для оценки устойчивости и ответственности деятельности организации.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SDGs (ЦУР)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17 Целей устойчивого развития, принятых Генеральной Ассамблеей ООН в 2015 году в рамках Повестки дня в области устойчивого развития на период до 2030 года.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ВНД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Внутренняя нормативная документация — совокупность локальных актов (политик, положений, регламентов), регулирующих деятельность школы и обязательных для исполнения всеми участниками образовательного процесса.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Устойчивое развитие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Развитие, которое удовлетворяет потребности настоящего времени без ущерба для возможности будущих поколений удовлетворять свои собственные потребности.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Заинтересованные стороны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Учащиеся, родители (законные представители), сотрудники, учредители, партнёры, подрядчики и иные лица и организации, чьи интересы прямо или косвенно затрагивает деятельность школы.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Комитет по ESG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Постоянно действующий коллегиальный орган школы, координирующий разработку и реализацию ESG-повестки в соответствии с Положением о Комитете по ESG.</w:t>
      </w:r>
    </w:p>
    <w:p>
      <w:pPr>
        <w:spacing w:after="160" w:line="300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6"/>
          <w:szCs w:val="26"/>
        </w:rPr>
        <w:t xml:space="preserve">Существенность — </w:t>
      </w: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Принцип определения приоритетности вопросов и показателей исходя из степени их влияния на деятельность школы и на заинтересованные стороны.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2. Область применения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Политика распространяется на все категории учащихся школы, педагогический персонал, специалистов сопровождения и родителей.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Действие Политики распространяется на организацию образовательного процесса, адаптацию учебных материалов, физическую доступность инфраструктуры школы и психолого-педагогическое сопровождение учащихся с особыми образовательными потребностями.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3. Цель документа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Целью Политики является создание инклюзивной образовательной среды, обеспечивающей равные возможности для обучения и развития всех учащихся независимо от их особенностей.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Политика определяет механизмы выявления образовательных потребностей учащихся, разработки индивидуальных образовательных маршрутов и организации психолого-педагогического сопровождения в соответствии с лучшими международными практиками инклюзивного образования.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4. Нормативные ссылки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Конституция Республики Казахстан.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Закон Республики Казахстан «Об образовании».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Закон Республики Казахстан «О правах ребёнка в Республике Казахстан».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Повестка дня в области устойчивого развития на период до 2030 года (ООН, 2015 год).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Стандарты раскрытия нефинансовой информации Глобальной инициативы по отчётности (GRI).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Устав школы.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5. Задачи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Обеспечить доступность образовательной среды для детей с особыми образовательными потребностями.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Развивать индивидуализированные подходы к обучению с учётом потребностей каждого ребёнка.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Формировать инклюзивную культуру и толерантное отношение среди учащихся и сотрудников.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Обеспечить подготовку педагогов к работе в условиях инклюзивного образования.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Развивать систему психолого-педагогического сопровождения учащихся.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Обеспечить своевременное выявление образовательных потребностей учащихся на ранних этапах обучения.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Развивать сотрудничество с родителями и внешними специалистами в интересах ребёнка.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Обеспечить физическую доступность инфраструктуры школы для учащихся с ограниченными возможностями здоровья.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6. Основные принципы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Равенство возможностей — обеспечение равного доступа к образованию для всех учащихся.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Индивидуализация — учёт индивидуальных потребностей и особенностей каждого ребёнка.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Недискриминация — недопустимость исключения учащихся по признаку особенностей развития.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Партнёрство — сотрудничество с родителями и специалистами в интересах ребёнка.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Доступность среды — устранение физических и коммуникационных барьеров.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Своевременность поддержки — раннее выявление и сопровождение образовательных потребностей.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Уважение к разнообразию — признание ценности индивидуальных различий учащихся.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Комплексность сопровождения — сочетание педагогических, психологических и медицинских мер поддержки при необходимости.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7. Распределение ответственности</w:t>
      </w:r>
    </w:p>
    <w:tbl>
      <w:tblPr>
        <w:tblW w:type="dxa" w:w="97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200"/>
      </w:tblGrid>
      <w:tr>
        <w:trPr>
          <w:tblHeader/>
        </w:trP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Роль / должность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Ответственность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Директор школы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Утверждает Политику и обеспечивает необходимые ресурсы для инклюзии.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Заместитель директора по инклюзивному образованию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Координирует реализацию Политики и работу службы сопровождения.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Психолого-педагогический консилиум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Разрабатывает индивидуальные образовательные маршруты учащихся.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Учителя-предметники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Применяют индивидуализированные методики обучения.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Педагог-психолог, дефектолог, логопед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Осуществляют специализированное сопровождение учащихся с особыми образовательными потребностями.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Служба эксплуатации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Обеспечивает физическую доступность инфраструктуры школы.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Родители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Участвуют в разработке и реализации индивидуального образовательного маршрута ребёнка.</w:t>
            </w:r>
          </w:p>
        </w:tc>
      </w:tr>
      <w:tr>
        <w:tc>
          <w:tcPr>
            <w:tcW w:type="dxa" w:w="3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Классные руководители</w:t>
            </w:r>
          </w:p>
        </w:tc>
        <w:tc>
          <w:tcPr>
            <w:tcW w:type="dxa" w:w="6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50"/>
              <w:bottom w:type="dxa" w:w="120"/>
              <w:right w:type="dxa" w:w="150"/>
            </w:tcMar>
          </w:tcPr>
          <w:p>
            <w:r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  <w:t xml:space="preserve">Содействуют формированию инклюзивной культуры в классном коллективе.</w:t>
            </w:r>
          </w:p>
        </w:tc>
      </w:tr>
    </w:tbl>
    <w:p>
      <w:pPr>
        <w:spacing w:after="150"/>
      </w:pP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8. Порядок реализации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Реализация Политики осуществляется через разработку индивидуальных образовательных маршрутов, адаптацию учебных программ и материалов, обеспечение доступной физической среды и подготовку педагогов по вопросам инклюзивного образования.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Выявление образовательных потребностей учащихся осуществляется на основе наблюдений педагогов, результатов диагностики психолого-педагогического консилиума, а также обращений родителей. При необходимости школа рекомендует родителям обращение к внешним медицинским специалистам.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Психолого-педагогический консилиум школы регулярно оценивает потребности учащихся и разрабатывает либо корректирует индивидуальные образовательные маршруты, включающие адаптацию содержания обучения, методов преподавания и системы оценивания.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Школа обеспечивает подготовку педагогов к работе в условиях инклюзивного образования через обязательные обучающие программы, супервизии и методическую поддержку со стороны специалистов сопровождения.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Служба эксплуатации школы планирует и поэтапно реализует мероприятия по обеспечению физической доступности инфраструктуры, включая устранение архитектурных барьеров, установку специализированного оборудования и адаптацию учебных помещений.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9. Контроль исполнения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Контроль исполнения осуществляется заместителем директора по инклюзивному образованию на основе отчётов психолого-педагогического консилиума и обратной связи от родителей.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Директор школы ежегодно рассматривает сводный отчёт о реализации Политики инклюзивного образования и принимает решения о приоритетных направлениях развития инклюзивной среды на следующий период.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10. Порядок мониторинга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Мониторинг включает регулярную оценку прогресса учащихся с особыми образовательными потребностями, анализ доступности среды и уровня удовлетворённости родителей качеством сопровождения.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Результаты мониторинга используются для корректировки индивидуальных образовательных маршрутов и планирования дальнейших мероприятий по развитию инклюзивной образовательной среды школы.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11. Показатели эффективности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Доля учащихся с особыми образовательными потребностями, охваченных индивидуальными маршрутами, %.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Доля педагогов, прошедших обучение по инклюзивному образованию, %.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Уровень удовлетворённости родителей качеством инклюзивного сопровождения, %.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Динамика образовательных результатов учащихся с ООП.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Доля помещений школы, соответствующих требованиям физической доступности, %.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Количество специалистов сопровождения (психологов, дефектологов, логопедов) на количество учащихся с ООП.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Среднее время от выявления образовательной потребности до разработки индивидуального маршрута, дней.</w:t>
      </w:r>
    </w:p>
    <w:p>
      <w:pPr>
        <w:pStyle w:val="ListParagraph"/>
        <w:numPr>
          <w:ilvl w:val="0"/>
          <w:numId w:val="2"/>
        </w:numPr>
        <w:spacing w:after="140" w:line="300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Уровень инклюзивной культуры в ученических коллективах (по данным опросов), %.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12. Заключительные положения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Настоящий документ «Политика инклюзивного образования» вступает в силу с даты утверждения директором школы и действует до принятия новой редакции либо до его отмены приказом директора.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Изменения и дополнения в документ вносятся приказом директора школы по представлению Комитета по ESG не реже одного раза в три года либо при изменении законодательства Республики Казахстан, организационной структуры школы или международных стандартов в области ESG и SDGs.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Все структурные подразделения школы обязаны обеспечить ознакомление сотрудников с положениями настоящего документа под подпись в срок не позднее 10 рабочих дней с даты его утверждения либо внесения изменений.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 случае противоречия между настоящим документом и иными внутренними нормативными актами школы применяются положения документа, принятого позднее, либо приоритет отдаётся документу более высокого уровня в иерархии ВНД школы.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Вопросы, не урегулированные настоящим документом, разрешаются в соответствии с законодательством Республики Казахстан, Уставом школы и иными применимыми внутренними нормативными актами.</w:t>
      </w:r>
    </w:p>
    <w:p>
      <w:pPr>
        <w:pStyle w:val="Heading1"/>
        <w:spacing w:after="180" w:before="340" w:line="30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13. Приложения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Приложение 1. Порядок разработки индивидуального образовательного маршрута.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Приложение 2. Состав и регламент работы психолого-педагогического консилиума.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Приложение 3. План мероприятий по обеспечению физической доступности инфраструктуры школы.</w:t>
      </w:r>
    </w:p>
    <w:p>
      <w:pPr>
        <w:spacing w:after="200" w:line="300"/>
        <w:jc w:val="both"/>
      </w:pPr>
      <w:r>
        <w:rPr>
          <w:rFonts w:ascii="Times New Roman" w:cs="Times New Roman" w:eastAsia="Times New Roman" w:hAnsi="Times New Roman"/>
          <w:color w:val="000000"/>
          <w:sz w:val="26"/>
          <w:szCs w:val="26"/>
        </w:rPr>
        <w:t xml:space="preserve">Приложение 4. Форма согласия родителей на психолого-педагогическое сопровождение.</w:t>
      </w:r>
    </w:p>
    <w:sectPr>
      <w:headerReference w:type="default" r:id="rId7"/>
      <w:footerReference w:type="default" r:id="rId8"/>
      <w:pgSz w:w="11906" w:h="16838" w:orient="portrait"/>
      <w:pgMar w:top="1417" w:right="1134" w:bottom="1417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imes New Roman" w:cs="Times New Roman" w:eastAsia="Times New Roman" w:hAnsi="Times New Roman"/>
        <w:color w:val="000000"/>
        <w:sz w:val="22"/>
        <w:szCs w:val="22"/>
      </w:rPr>
      <w:t xml:space="preserve">Политика инклюзивного образования · стр. </w:t>
    </w:r>
    <w:r>
      <w:rPr>
        <w:rFonts w:ascii="Times New Roman" w:cs="Times New Roman" w:eastAsia="Times New Roman" w:hAnsi="Times New Roman"/>
        <w:color w:val="000000"/>
        <w:sz w:val="22"/>
        <w:szCs w:val="22"/>
      </w:rPr>
      <w:fldChar w:fldCharType="begin"/>
      <w:instrText xml:space="preserve">PAGE</w:instrText>
      <w:fldChar w:fldCharType="separate"/>
      <w:fldChar w:fldCharType="end"/>
    </w:r>
    <w:r>
      <w:rPr>
        <w:rFonts w:ascii="Times New Roman" w:cs="Times New Roman" w:eastAsia="Times New Roman" w:hAnsi="Times New Roman"/>
        <w:color w:val="000000"/>
        <w:sz w:val="22"/>
        <w:szCs w:val="22"/>
      </w:rPr>
      <w:t xml:space="preserve"> из </w:t>
    </w:r>
    <w:r>
      <w:rPr>
        <w:rFonts w:ascii="Times New Roman" w:cs="Times New Roman" w:eastAsia="Times New Roman" w:hAnsi="Times New Roman"/>
        <w:color w:val="000000"/>
        <w:sz w:val="22"/>
        <w:szCs w:val="22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00000" w:sz="6" w:space="4"/>
      </w:pBdr>
      <w:tabs>
        <w:tab w:val="right" w:pos="9026"/>
      </w:tabs>
    </w:pPr>
    <w:r>
      <w:rPr>
        <w:rFonts w:ascii="Times New Roman" w:cs="Times New Roman" w:eastAsia="Times New Roman" w:hAnsi="Times New Roman"/>
        <w:color w:val="000000"/>
        <w:sz w:val="22"/>
        <w:szCs w:val="22"/>
      </w:rPr>
      <w:t xml:space="preserve">Частная школа имени Шокана Уалиханова</w:t>
    </w:r>
    <w:r>
      <w:t xml:space="preserve">	</w:t>
    </w:r>
    <w:r>
      <w:rPr>
        <w:rFonts w:ascii="Times New Roman" w:cs="Times New Roman" w:eastAsia="Times New Roman" w:hAnsi="Times New Roman"/>
        <w:b/>
        <w:bCs/>
        <w:color w:val="000000"/>
        <w:sz w:val="22"/>
        <w:szCs w:val="22"/>
      </w:rPr>
      <w:t xml:space="preserve">ВНД-ESG-07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color w:val="000000"/>
        <w:sz w:val="26"/>
        <w:szCs w:val="26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80" w:before="340"/>
      <w:outlineLvl w:val="0"/>
    </w:pPr>
    <w:rPr>
      <w:rFonts w:ascii="Times New Roman" w:cs="Times New Roman" w:eastAsia="Times New Roman" w:hAnsi="Times New Roman"/>
      <w:b/>
      <w:bCs/>
      <w:color w:val="000000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инклюзивного образования</dc:title>
  <dc:subject>ESG и SDGs</dc:subject>
  <dc:creator>Частная школа имени Шокана Уалиханова</dc:creator>
  <cp:keywords>ESG, SDGs, устойчивое развитие, внутренняя нормативная документация</cp:keywords>
  <dc:description>Внутренняя нормативная документация — Частная школа имени Шокана Уалиханова</dc:description>
  <cp:lastModifiedBy>Частная школа имени Шокана Уалиханова</cp:lastModifiedBy>
  <cp:revision>1</cp:revision>
  <dcterms:created xsi:type="dcterms:W3CDTF">2026-08-04T13:08:39.930Z</dcterms:created>
  <dcterms:modified xsi:type="dcterms:W3CDTF">2026-08-04T13:08:39.930Z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tegory">
    <vt:lpwstr>Внутренняя нормативная документация</vt:lpwstr>
  </property>
  <property fmtid="{D5CDD505-2E9C-101B-9397-08002B2CF9AE}" pid="3" name="Company">
    <vt:lpwstr>Частная школа имени Шокана Уалиханова</vt:lpwstr>
  </property>
  <property fmtid="{D5CDD505-2E9C-101B-9397-08002B2CF9AE}" pid="4" name="Organization">
    <vt:lpwstr>Частная школа имени Шокана Уалиханова</vt:lpwstr>
  </property>
</Properties>
</file>